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EE" w:rsidRDefault="00B141EE" w:rsidP="00B141E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141EE" w:rsidRDefault="00B141EE" w:rsidP="00B14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B141EE" w:rsidRDefault="00B141EE" w:rsidP="00B141EE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B141EE" w:rsidRDefault="00B141EE" w:rsidP="00B141EE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B141EE" w:rsidRDefault="00B141EE" w:rsidP="00B141EE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B141EE" w:rsidRDefault="00B141EE" w:rsidP="00B141EE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141EE" w:rsidRDefault="00B141EE" w:rsidP="00B141EE">
      <w:pPr>
        <w:ind w:firstLine="720"/>
      </w:pPr>
    </w:p>
    <w:p w:rsidR="00B141EE" w:rsidRDefault="00B141EE" w:rsidP="00B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B141EE" w:rsidRDefault="00B141EE" w:rsidP="00B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B141EE" w:rsidRDefault="00B141EE" w:rsidP="00B14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141EE" w:rsidRDefault="00B141EE" w:rsidP="00B14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992E85">
        <w:rPr>
          <w:rFonts w:ascii="Times New Roman" w:hAnsi="Times New Roman" w:cs="Times New Roman"/>
          <w:b/>
          <w:sz w:val="28"/>
          <w:szCs w:val="28"/>
        </w:rPr>
        <w:t>Правила чтения чертежей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B141EE" w:rsidRDefault="00B141EE" w:rsidP="00B141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 xml:space="preserve">Изображения и обозначения швов сварных соединений на чертежах </w:t>
      </w:r>
      <w:r w:rsidR="005F4F9C">
        <w:rPr>
          <w:rFonts w:ascii="Times New Roman" w:hAnsi="Times New Roman" w:cs="Times New Roman"/>
          <w:sz w:val="28"/>
          <w:szCs w:val="28"/>
        </w:rPr>
        <w:t>изделий должны соответствовать е</w:t>
      </w:r>
      <w:r w:rsidR="00992E85" w:rsidRPr="00992E85">
        <w:rPr>
          <w:rFonts w:ascii="Times New Roman" w:hAnsi="Times New Roman" w:cs="Times New Roman"/>
          <w:sz w:val="28"/>
          <w:szCs w:val="28"/>
        </w:rPr>
        <w:t>диной системе конструкторской документации (ЕСКД). Независимо от вида сварки видимый шов сварного соединения условно изображают сплошной основной линией, а невидимый — штриховой. Обозначение шва отмечают линией-выноской, заканчивающейся односторонней стрелкой. Характеристика шва, расположенного на лицевой стороне листа (видимый шов), проставляется над полкой линии-выноски, а шва на обратной стороне листа (невидимый шов) — под полкой. Структура условного обозначения свар</w:t>
      </w:r>
      <w:r w:rsidR="00992E85">
        <w:rPr>
          <w:rFonts w:ascii="Times New Roman" w:hAnsi="Times New Roman" w:cs="Times New Roman"/>
          <w:sz w:val="28"/>
          <w:szCs w:val="28"/>
        </w:rPr>
        <w:t>ных швов приведена на рис. 1</w:t>
      </w:r>
    </w:p>
    <w:p w:rsidR="00992E85" w:rsidRPr="00992E85" w:rsidRDefault="00992E85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85">
        <w:rPr>
          <w:rFonts w:ascii="Times New Roman" w:hAnsi="Times New Roman" w:cs="Times New Roman"/>
          <w:sz w:val="28"/>
          <w:szCs w:val="28"/>
        </w:rPr>
        <w:t>Перечислим основные стандарты на виды и конструктивные элементы швов сварных соединений для различных видов сварки: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>ГОСТ 5264—80 «Ручная дуговая сварка. Соединения сварные»; ГОСТ 8713—79 «Сварка под флюсом. Соединения сварные»;</w:t>
      </w:r>
    </w:p>
    <w:p w:rsidR="009A1A5A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>ГОСТ 14771—76 «Дуговая сварка в защитном газе. Соединения сварные»;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 xml:space="preserve">ГОСТ </w:t>
      </w:r>
      <w:r w:rsidR="00992E85">
        <w:rPr>
          <w:rFonts w:ascii="Times New Roman" w:hAnsi="Times New Roman" w:cs="Times New Roman"/>
          <w:sz w:val="28"/>
          <w:szCs w:val="28"/>
        </w:rPr>
        <w:t xml:space="preserve">15164-78 </w:t>
      </w:r>
      <w:r w:rsidR="00992E85" w:rsidRPr="00992E85">
        <w:rPr>
          <w:rFonts w:ascii="Times New Roman" w:hAnsi="Times New Roman" w:cs="Times New Roman"/>
          <w:sz w:val="28"/>
          <w:szCs w:val="28"/>
        </w:rPr>
        <w:t>«Электрошлаковая сварка. Соединения сварные»;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>ГОСТ 14806—80 «Дуговая сварка алюминия и алюминиевых сплавов в инертных газах»;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 xml:space="preserve">ГОСТ 16098—80 «Соединения сварные из двухслойной </w:t>
      </w:r>
      <w:proofErr w:type="gramStart"/>
      <w:r w:rsidR="00992E85" w:rsidRPr="00992E85"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 w:rsidR="00992E85" w:rsidRPr="00992E85">
        <w:rPr>
          <w:rFonts w:ascii="Times New Roman" w:hAnsi="Times New Roman" w:cs="Times New Roman"/>
          <w:sz w:val="28"/>
          <w:szCs w:val="28"/>
        </w:rPr>
        <w:t xml:space="preserve"> стали»;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>ГОСТ 16038—80 «Соединения сварные трубопроводов из меди и медно-никелевого сплава»;</w:t>
      </w:r>
    </w:p>
    <w:p w:rsidR="00992E85" w:rsidRPr="00992E85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E85" w:rsidRPr="00992E85">
        <w:rPr>
          <w:rFonts w:ascii="Times New Roman" w:hAnsi="Times New Roman" w:cs="Times New Roman"/>
          <w:sz w:val="28"/>
          <w:szCs w:val="28"/>
        </w:rPr>
        <w:t>ГОСТ 11533—75 «Автоматическая и полуавтоматическая дуговая сварка под флюсом. Соединения сварные под острыми и тупыми углами»; гост 27580 — 88 «Дуговая сварка алюминия и алюминиевых сплавов в инертных газах. Соединения сварные под острыми и тупыми углами».</w:t>
      </w:r>
    </w:p>
    <w:p w:rsidR="00992E85" w:rsidRDefault="00992E85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85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0189EA" wp14:editId="1C14DE4E">
            <wp:extent cx="5940425" cy="836858"/>
            <wp:effectExtent l="0" t="0" r="3175" b="1905"/>
            <wp:docPr id="3" name="Рисунок 3" descr="https://vtmstol.ru/assets/img/stati/oboznac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mstol.ru/assets/img/stati/oboznach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5" w:rsidRP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43429">
        <w:rPr>
          <w:rFonts w:ascii="Times New Roman" w:hAnsi="Times New Roman" w:cs="Times New Roman"/>
          <w:i/>
          <w:sz w:val="24"/>
          <w:szCs w:val="28"/>
        </w:rPr>
        <w:t>Рис. 1. Структура условного обозначения сварных швов на чертежах деталей</w:t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Нагромождение цифр и непонятных символов никак не добавляет оптимизма. Но на самом деле не все так печально. На самом деле в столь длинной строке зашита логическая цепочка, в которой совсем несложно разобраться. Сначала нужно выражение разбить на составляющие блоки:</w:t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A11965" wp14:editId="2A582756">
            <wp:extent cx="5940425" cy="1432803"/>
            <wp:effectExtent l="0" t="0" r="3175" b="0"/>
            <wp:docPr id="4" name="Рисунок 4" descr="https://vtmstol.ru/assets/img/stati/oboznac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mstol.ru/assets/img/stati/oboznach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P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9">
        <w:rPr>
          <w:rFonts w:ascii="Times New Roman" w:hAnsi="Times New Roman" w:cs="Times New Roman"/>
          <w:sz w:val="28"/>
          <w:szCs w:val="28"/>
        </w:rPr>
        <w:t>Настало время рассмотреть все составные элементы, разбитые по квадратам: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вспомогательный символ, который информирует специалиста о виде стыка: замкнутая линия или монтажное соединение;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номер стандарта, соответственно которому здесь приводятся условные обозначения;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буквенное или номерное обозначение типа соединения со всеми конструктивными элементами;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метод выполнения сварочных работ соответственно стандарту;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тип конструктивного элемента и его размеры;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длина непрерывного участка;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символ, характеризующий тип соединения;</w:t>
      </w:r>
    </w:p>
    <w:p w:rsidR="00043429" w:rsidRPr="00043429" w:rsidRDefault="00B141EE" w:rsidP="00B141E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описание соединения при помощи вспомогательных знаков.</w:t>
      </w:r>
    </w:p>
    <w:p w:rsidR="00992E85" w:rsidRDefault="00992E85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Далее рассмотрим каждый из элементов условного обозначения отдельно</w:t>
      </w:r>
      <w:proofErr w:type="gramStart"/>
      <w:r w:rsidR="00043429" w:rsidRPr="000434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429" w:rsidRPr="0004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429" w:rsidRPr="00043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3429" w:rsidRPr="00043429">
        <w:rPr>
          <w:rFonts w:ascii="Times New Roman" w:hAnsi="Times New Roman" w:cs="Times New Roman"/>
          <w:sz w:val="28"/>
          <w:szCs w:val="28"/>
        </w:rPr>
        <w:t xml:space="preserve"> первом квадрате изображен овал, который символизирует круговое соединение. Его альтернативой является флажок, который информирует о монтажном типе соединения стыка. Односторонняя стрелка информирует о шовной линии. С ней связана специфическая особенность, которая выражается в наличии полки. Нередко на графических чертежах встречается такой знак</w:t>
      </w:r>
    </w:p>
    <w:p w:rsidR="00992E85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E9DA73" wp14:editId="306E16D7">
            <wp:extent cx="3329940" cy="769620"/>
            <wp:effectExtent l="0" t="0" r="3810" b="0"/>
            <wp:docPr id="5" name="Рисунок 5" descr="https://vtmstol.ru/assets/img/stati/oboznach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tmstol.ru/assets/img/stati/oboznach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Pr="00043429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Визуально он похож на символ корня квадратного из области математики. Видимая на рисунке полка является полем для размещения разных условных обозначений о характеристиках шовной линии.</w:t>
      </w:r>
    </w:p>
    <w:p w:rsidR="00043429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Если информация расположена под так называемой «полкой», то это говорит о том, что сварной шов расположен с обратной стороны и является невидимым с лицевой части. Как определить, какая из сторон считается лицевой, а какая – изнаночной? При одностороннем соединении сделать это несложно. Лицевой будет считаться та сторона, с которой нужно работать. А вот при двухстороннем соединении с неодинаковыми кромками лицевой считается та сторона, на которой размещено основное сварочное соединение. При одинаковых кромках лицевой или изнаночной может быть любая из сторон.</w:t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6EFE44" wp14:editId="5F1D271B">
            <wp:extent cx="3505200" cy="3215640"/>
            <wp:effectExtent l="0" t="0" r="0" b="3810"/>
            <wp:docPr id="6" name="Рисунок 6" descr="https://vtmstol.ru/assets/img/stati/obozn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tmstol.ru/assets/img/stati/oboznach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26" cy="32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B141EE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29" w:rsidRPr="00043429">
        <w:rPr>
          <w:rFonts w:ascii="Times New Roman" w:hAnsi="Times New Roman" w:cs="Times New Roman"/>
          <w:sz w:val="28"/>
          <w:szCs w:val="28"/>
        </w:rPr>
        <w:t>Ниже представлена таблица с наиболее часто используемыми в чертежах символами и их значениями:</w:t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21DAF" wp14:editId="40E9AB79">
            <wp:extent cx="3749040" cy="2148440"/>
            <wp:effectExtent l="0" t="0" r="3810" b="4445"/>
            <wp:docPr id="7" name="Рисунок 7" descr="https://vtmstol.ru/assets/img/stati/oboznac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tmstol.ru/assets/img/stati/oboznach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91" cy="21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64262F" wp14:editId="2019C220">
            <wp:extent cx="4732020" cy="3726180"/>
            <wp:effectExtent l="0" t="0" r="0" b="7620"/>
            <wp:docPr id="8" name="Рисунок 8" descr="https://stdpro.ru/wp-content/uploads/2017/11/365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dpro.ru/wp-content/uploads/2017/11/36505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39126E" wp14:editId="0384C069">
            <wp:extent cx="4602480" cy="3101340"/>
            <wp:effectExtent l="0" t="0" r="7620" b="3810"/>
            <wp:docPr id="9" name="Рисунок 9" descr="https://stdpro.ru/wp-content/uploads/2017/11/mscreenshot-q-767x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dpro.ru/wp-content/uploads/2017/11/mscreenshot-q-767x9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9" w:rsidRDefault="00043429" w:rsidP="00B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B14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B141EE">
        <w:rPr>
          <w:rFonts w:ascii="Times New Roman" w:hAnsi="Times New Roman" w:cs="Times New Roman"/>
          <w:b/>
          <w:sz w:val="28"/>
          <w:szCs w:val="28"/>
        </w:rPr>
        <w:t>закрепления пройденного материала</w:t>
      </w:r>
    </w:p>
    <w:p w:rsidR="00B141EE" w:rsidRPr="00512D7A" w:rsidRDefault="00B141EE" w:rsidP="00B1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E7A" w:rsidRDefault="005F4F9C" w:rsidP="00B141EE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5F4F9C">
        <w:rPr>
          <w:rFonts w:ascii="Times New Roman" w:hAnsi="Times New Roman" w:cs="Times New Roman"/>
          <w:sz w:val="28"/>
          <w:szCs w:val="28"/>
        </w:rPr>
        <w:t xml:space="preserve"> основные стандарты на виды и конструктивные элементы швов сварных соедин</w:t>
      </w:r>
      <w:r>
        <w:rPr>
          <w:rFonts w:ascii="Times New Roman" w:hAnsi="Times New Roman" w:cs="Times New Roman"/>
          <w:sz w:val="28"/>
          <w:szCs w:val="28"/>
        </w:rPr>
        <w:t>ений для различных видов сварки.</w:t>
      </w:r>
    </w:p>
    <w:p w:rsidR="005F4F9C" w:rsidRPr="005F4F9C" w:rsidRDefault="005F4F9C" w:rsidP="00B141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B141EE" w:rsidP="00B141E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1E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B141EE" w:rsidRPr="00B141EE" w:rsidRDefault="00B141EE" w:rsidP="00B141E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DAE" w:rsidRDefault="00512D7A" w:rsidP="00B1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5F4F9C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C332FC" w:rsidRDefault="00EA4DAE" w:rsidP="00B1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EE" w:rsidRDefault="00B141EE" w:rsidP="00B1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B141EE" w:rsidP="00B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B141EE" w:rsidRPr="00C332FC" w:rsidRDefault="00B141EE" w:rsidP="00B14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B141E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B141E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B141E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B141E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B141E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B141EE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05" w:rsidRDefault="004F5205" w:rsidP="00A24B35">
      <w:pPr>
        <w:spacing w:after="0" w:line="240" w:lineRule="auto"/>
      </w:pPr>
      <w:r>
        <w:separator/>
      </w:r>
    </w:p>
  </w:endnote>
  <w:endnote w:type="continuationSeparator" w:id="0">
    <w:p w:rsidR="004F5205" w:rsidRDefault="004F520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05" w:rsidRDefault="004F5205" w:rsidP="00A24B35">
      <w:pPr>
        <w:spacing w:after="0" w:line="240" w:lineRule="auto"/>
      </w:pPr>
      <w:r>
        <w:separator/>
      </w:r>
    </w:p>
  </w:footnote>
  <w:footnote w:type="continuationSeparator" w:id="0">
    <w:p w:rsidR="004F5205" w:rsidRDefault="004F520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644B0"/>
    <w:multiLevelType w:val="hybridMultilevel"/>
    <w:tmpl w:val="653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5554E"/>
    <w:multiLevelType w:val="hybridMultilevel"/>
    <w:tmpl w:val="D2F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1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5"/>
  </w:num>
  <w:num w:numId="11">
    <w:abstractNumId w:val="19"/>
  </w:num>
  <w:num w:numId="12">
    <w:abstractNumId w:val="29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30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8"/>
  </w:num>
  <w:num w:numId="28">
    <w:abstractNumId w:val="6"/>
  </w:num>
  <w:num w:numId="29">
    <w:abstractNumId w:val="20"/>
  </w:num>
  <w:num w:numId="30">
    <w:abstractNumId w:val="26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429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9730A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4F5205"/>
    <w:rsid w:val="00500B57"/>
    <w:rsid w:val="00502261"/>
    <w:rsid w:val="00507412"/>
    <w:rsid w:val="00512D7A"/>
    <w:rsid w:val="005313B9"/>
    <w:rsid w:val="00543425"/>
    <w:rsid w:val="005454A4"/>
    <w:rsid w:val="00565DC6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5F4F9C"/>
    <w:rsid w:val="00612643"/>
    <w:rsid w:val="00634E37"/>
    <w:rsid w:val="00651E96"/>
    <w:rsid w:val="0066414C"/>
    <w:rsid w:val="0067200F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51011"/>
    <w:rsid w:val="0087741C"/>
    <w:rsid w:val="00893174"/>
    <w:rsid w:val="00896FE6"/>
    <w:rsid w:val="008A049F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2E85"/>
    <w:rsid w:val="009956F2"/>
    <w:rsid w:val="0099678A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141EE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0077"/>
    <w:rsid w:val="00C313CE"/>
    <w:rsid w:val="00C32579"/>
    <w:rsid w:val="00C332FC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499F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6036F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14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1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4A26-BAB7-462C-B776-C2D0F5A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162</cp:revision>
  <dcterms:created xsi:type="dcterms:W3CDTF">2020-03-23T11:33:00Z</dcterms:created>
  <dcterms:modified xsi:type="dcterms:W3CDTF">2020-05-24T11:19:00Z</dcterms:modified>
</cp:coreProperties>
</file>